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F7" w:rsidRPr="003F1BEF" w:rsidRDefault="00CE0FB9" w:rsidP="00CE0FB9">
      <w:pPr>
        <w:jc w:val="center"/>
        <w:rPr>
          <w:rFonts w:ascii="Arial" w:hAnsi="Arial" w:cs="Arial"/>
          <w:color w:val="808080"/>
          <w:sz w:val="40"/>
          <w:szCs w:val="40"/>
        </w:rPr>
      </w:pPr>
      <w:r w:rsidRPr="003F1BEF">
        <w:rPr>
          <w:rFonts w:ascii="Arial" w:hAnsi="Arial" w:cs="Arial"/>
          <w:color w:val="808080"/>
          <w:sz w:val="40"/>
          <w:szCs w:val="40"/>
        </w:rPr>
        <w:t>Likes, Tolerates, Dislikes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CE0FB9" w:rsidRPr="003F1BEF" w:rsidTr="003F1BEF">
        <w:trPr>
          <w:trHeight w:val="525"/>
        </w:trPr>
        <w:tc>
          <w:tcPr>
            <w:tcW w:w="9242" w:type="dxa"/>
            <w:gridSpan w:val="3"/>
            <w:shd w:val="clear" w:color="auto" w:fill="auto"/>
          </w:tcPr>
          <w:p w:rsidR="00CE0FB9" w:rsidRPr="003F1BEF" w:rsidRDefault="00CE0FB9" w:rsidP="003F1BEF">
            <w:pPr>
              <w:spacing w:after="0" w:line="240" w:lineRule="auto"/>
              <w:rPr>
                <w:rFonts w:ascii="Arial" w:hAnsi="Arial" w:cs="Arial"/>
                <w:b/>
                <w:sz w:val="24"/>
                <w:szCs w:val="24"/>
              </w:rPr>
            </w:pPr>
          </w:p>
          <w:p w:rsidR="00CE0FB9" w:rsidRPr="003F1BEF" w:rsidRDefault="00CE0FB9" w:rsidP="00A76C81">
            <w:pPr>
              <w:rPr>
                <w:rFonts w:ascii="Arial" w:hAnsi="Arial" w:cs="Arial"/>
                <w:sz w:val="24"/>
                <w:szCs w:val="24"/>
              </w:rPr>
            </w:pPr>
            <w:r w:rsidRPr="003F1BEF">
              <w:rPr>
                <w:rFonts w:ascii="Arial" w:hAnsi="Arial" w:cs="Arial"/>
                <w:b/>
                <w:sz w:val="24"/>
                <w:szCs w:val="24"/>
              </w:rPr>
              <w:t>Student:</w:t>
            </w:r>
            <w:r w:rsidR="00A76C81">
              <w:rPr>
                <w:rFonts w:cs="Arial"/>
                <w:sz w:val="24"/>
                <w:szCs w:val="24"/>
                <w:lang w:val="en-US"/>
              </w:rPr>
              <w:t xml:space="preserve"> </w:t>
            </w:r>
            <w:r w:rsidR="00A76C81">
              <w:rPr>
                <w:rFonts w:cs="Arial"/>
                <w:sz w:val="24"/>
                <w:szCs w:val="24"/>
                <w:lang w:val="en-US"/>
              </w:rPr>
              <w:fldChar w:fldCharType="begin">
                <w:ffData>
                  <w:name w:val="Text1"/>
                  <w:enabled/>
                  <w:calcOnExit w:val="0"/>
                  <w:textInput/>
                </w:ffData>
              </w:fldChar>
            </w:r>
            <w:r w:rsidR="00A76C81">
              <w:rPr>
                <w:rFonts w:cs="Arial"/>
                <w:sz w:val="24"/>
                <w:szCs w:val="24"/>
                <w:lang w:val="en-US"/>
              </w:rPr>
              <w:instrText xml:space="preserve"> FORMTEXT </w:instrText>
            </w:r>
            <w:r w:rsidR="00A76C81">
              <w:rPr>
                <w:rFonts w:cs="Arial"/>
                <w:sz w:val="24"/>
                <w:szCs w:val="24"/>
                <w:lang w:val="en-US"/>
              </w:rPr>
            </w:r>
            <w:r w:rsidR="00A76C81">
              <w:rPr>
                <w:rFonts w:cs="Arial"/>
                <w:sz w:val="24"/>
                <w:szCs w:val="24"/>
                <w:lang w:val="en-US"/>
              </w:rPr>
              <w:fldChar w:fldCharType="separate"/>
            </w:r>
            <w:bookmarkStart w:id="0" w:name="_GoBack"/>
            <w:r w:rsidR="00A76C81">
              <w:rPr>
                <w:rFonts w:eastAsia="Arial Unicode MS" w:cs="Arial"/>
                <w:sz w:val="24"/>
                <w:szCs w:val="24"/>
                <w:lang w:val="en-US"/>
              </w:rPr>
              <w:t> </w:t>
            </w:r>
            <w:r w:rsidR="00A76C81">
              <w:rPr>
                <w:rFonts w:eastAsia="Arial Unicode MS" w:cs="Arial"/>
                <w:sz w:val="24"/>
                <w:szCs w:val="24"/>
                <w:lang w:val="en-US"/>
              </w:rPr>
              <w:t> </w:t>
            </w:r>
            <w:r w:rsidR="00A76C81">
              <w:rPr>
                <w:rFonts w:eastAsia="Arial Unicode MS" w:cs="Arial"/>
                <w:sz w:val="24"/>
                <w:szCs w:val="24"/>
                <w:lang w:val="en-US"/>
              </w:rPr>
              <w:t> </w:t>
            </w:r>
            <w:r w:rsidR="00A76C81">
              <w:rPr>
                <w:rFonts w:eastAsia="Arial Unicode MS" w:cs="Arial"/>
                <w:sz w:val="24"/>
                <w:szCs w:val="24"/>
                <w:lang w:val="en-US"/>
              </w:rPr>
              <w:t> </w:t>
            </w:r>
            <w:r w:rsidR="00A76C81">
              <w:rPr>
                <w:rFonts w:eastAsia="Arial Unicode MS" w:cs="Arial"/>
                <w:sz w:val="24"/>
                <w:szCs w:val="24"/>
                <w:lang w:val="en-US"/>
              </w:rPr>
              <w:t> </w:t>
            </w:r>
            <w:bookmarkEnd w:id="0"/>
            <w:r w:rsidR="00A76C81">
              <w:rPr>
                <w:rFonts w:cs="Arial"/>
                <w:sz w:val="24"/>
                <w:szCs w:val="24"/>
                <w:lang w:val="en-US"/>
              </w:rPr>
              <w:fldChar w:fldCharType="end"/>
            </w:r>
            <w:r w:rsidRPr="003F1BEF">
              <w:rPr>
                <w:rFonts w:ascii="Arial" w:hAnsi="Arial" w:cs="Arial"/>
                <w:sz w:val="24"/>
                <w:szCs w:val="24"/>
              </w:rPr>
              <w:t xml:space="preserve">                                    </w:t>
            </w:r>
            <w:r w:rsidRPr="003F1BEF">
              <w:rPr>
                <w:rFonts w:ascii="Arial" w:hAnsi="Arial" w:cs="Arial"/>
                <w:b/>
                <w:sz w:val="24"/>
                <w:szCs w:val="24"/>
              </w:rPr>
              <w:t>Date:</w:t>
            </w:r>
            <w:r w:rsidR="003F1BEF" w:rsidRPr="003F1BEF">
              <w:rPr>
                <w:rFonts w:cs="Arial"/>
                <w:sz w:val="24"/>
                <w:szCs w:val="24"/>
                <w:lang w:val="en-US"/>
              </w:rPr>
              <w:t xml:space="preserve"> </w:t>
            </w:r>
            <w:r w:rsidR="00A76C81">
              <w:rPr>
                <w:rFonts w:cs="Arial"/>
                <w:sz w:val="24"/>
                <w:szCs w:val="24"/>
                <w:lang w:val="en-US"/>
              </w:rPr>
              <w:fldChar w:fldCharType="begin">
                <w:ffData>
                  <w:name w:val="Text1"/>
                  <w:enabled/>
                  <w:calcOnExit w:val="0"/>
                  <w:textInput/>
                </w:ffData>
              </w:fldChar>
            </w:r>
            <w:r w:rsidR="00A76C81">
              <w:rPr>
                <w:rFonts w:cs="Arial"/>
                <w:sz w:val="24"/>
                <w:szCs w:val="24"/>
                <w:lang w:val="en-US"/>
              </w:rPr>
              <w:instrText xml:space="preserve"> FORMTEXT </w:instrText>
            </w:r>
            <w:r w:rsidR="00A76C81">
              <w:rPr>
                <w:rFonts w:cs="Arial"/>
                <w:sz w:val="24"/>
                <w:szCs w:val="24"/>
                <w:lang w:val="en-US"/>
              </w:rPr>
            </w:r>
            <w:r w:rsidR="00A76C81">
              <w:rPr>
                <w:rFonts w:cs="Arial"/>
                <w:sz w:val="24"/>
                <w:szCs w:val="24"/>
                <w:lang w:val="en-US"/>
              </w:rPr>
              <w:fldChar w:fldCharType="separate"/>
            </w:r>
            <w:r w:rsidR="00A76C81">
              <w:rPr>
                <w:rFonts w:eastAsia="Arial Unicode MS" w:cs="Arial"/>
                <w:sz w:val="24"/>
                <w:szCs w:val="24"/>
                <w:lang w:val="en-US"/>
              </w:rPr>
              <w:t> </w:t>
            </w:r>
            <w:r w:rsidR="00A76C81">
              <w:rPr>
                <w:rFonts w:eastAsia="Arial Unicode MS" w:cs="Arial"/>
                <w:sz w:val="24"/>
                <w:szCs w:val="24"/>
                <w:lang w:val="en-US"/>
              </w:rPr>
              <w:t> </w:t>
            </w:r>
            <w:r w:rsidR="00A76C81">
              <w:rPr>
                <w:rFonts w:eastAsia="Arial Unicode MS" w:cs="Arial"/>
                <w:sz w:val="24"/>
                <w:szCs w:val="24"/>
                <w:lang w:val="en-US"/>
              </w:rPr>
              <w:t> </w:t>
            </w:r>
            <w:r w:rsidR="00A76C81">
              <w:rPr>
                <w:rFonts w:eastAsia="Arial Unicode MS" w:cs="Arial"/>
                <w:sz w:val="24"/>
                <w:szCs w:val="24"/>
                <w:lang w:val="en-US"/>
              </w:rPr>
              <w:t> </w:t>
            </w:r>
            <w:r w:rsidR="00A76C81">
              <w:rPr>
                <w:rFonts w:eastAsia="Arial Unicode MS" w:cs="Arial"/>
                <w:sz w:val="24"/>
                <w:szCs w:val="24"/>
                <w:lang w:val="en-US"/>
              </w:rPr>
              <w:t> </w:t>
            </w:r>
            <w:r w:rsidR="00A76C81">
              <w:rPr>
                <w:rFonts w:cs="Arial"/>
                <w:sz w:val="24"/>
                <w:szCs w:val="24"/>
                <w:lang w:val="en-US"/>
              </w:rPr>
              <w:fldChar w:fldCharType="end"/>
            </w:r>
          </w:p>
        </w:tc>
      </w:tr>
      <w:tr w:rsidR="00F60822" w:rsidRPr="003F1BEF" w:rsidTr="003F1BEF">
        <w:tc>
          <w:tcPr>
            <w:tcW w:w="3080" w:type="dxa"/>
            <w:shd w:val="clear" w:color="auto" w:fill="auto"/>
          </w:tcPr>
          <w:p w:rsidR="00CE0FB9" w:rsidRPr="003F1BEF" w:rsidRDefault="00CE0FB9" w:rsidP="003F1BEF">
            <w:pPr>
              <w:spacing w:after="0" w:line="240" w:lineRule="auto"/>
              <w:jc w:val="center"/>
              <w:rPr>
                <w:rFonts w:ascii="Arial" w:hAnsi="Arial" w:cs="Arial"/>
                <w:b/>
                <w:sz w:val="24"/>
                <w:szCs w:val="24"/>
              </w:rPr>
            </w:pPr>
            <w:r w:rsidRPr="003F1BEF">
              <w:rPr>
                <w:rFonts w:ascii="Arial" w:hAnsi="Arial" w:cs="Arial"/>
                <w:b/>
                <w:sz w:val="24"/>
                <w:szCs w:val="24"/>
              </w:rPr>
              <w:t>LIKES</w:t>
            </w:r>
          </w:p>
          <w:p w:rsidR="00CE0FB9" w:rsidRPr="003F1BEF" w:rsidRDefault="00CE0FB9" w:rsidP="003F1BEF">
            <w:pPr>
              <w:spacing w:after="0" w:line="240" w:lineRule="auto"/>
              <w:jc w:val="center"/>
              <w:rPr>
                <w:rFonts w:ascii="Arial" w:hAnsi="Arial" w:cs="Arial"/>
                <w:sz w:val="20"/>
                <w:szCs w:val="20"/>
              </w:rPr>
            </w:pPr>
            <w:r w:rsidRPr="003F1BEF">
              <w:rPr>
                <w:rFonts w:ascii="Arial" w:hAnsi="Arial" w:cs="Arial"/>
                <w:sz w:val="20"/>
                <w:szCs w:val="20"/>
              </w:rPr>
              <w:t>What people, objects, or activities are liked a lot or selected during free time?</w:t>
            </w:r>
          </w:p>
        </w:tc>
        <w:tc>
          <w:tcPr>
            <w:tcW w:w="3081" w:type="dxa"/>
            <w:shd w:val="clear" w:color="auto" w:fill="auto"/>
          </w:tcPr>
          <w:p w:rsidR="00CE0FB9" w:rsidRPr="003F1BEF" w:rsidRDefault="00CE0FB9" w:rsidP="003F1BEF">
            <w:pPr>
              <w:spacing w:after="0" w:line="240" w:lineRule="auto"/>
              <w:jc w:val="center"/>
              <w:rPr>
                <w:rFonts w:ascii="Arial" w:hAnsi="Arial" w:cs="Arial"/>
                <w:b/>
                <w:sz w:val="24"/>
                <w:szCs w:val="24"/>
              </w:rPr>
            </w:pPr>
            <w:r w:rsidRPr="003F1BEF">
              <w:rPr>
                <w:rFonts w:ascii="Arial" w:hAnsi="Arial" w:cs="Arial"/>
                <w:b/>
                <w:sz w:val="24"/>
                <w:szCs w:val="24"/>
              </w:rPr>
              <w:t>TOLERATES</w:t>
            </w:r>
          </w:p>
          <w:p w:rsidR="00CE0FB9" w:rsidRPr="003F1BEF" w:rsidRDefault="00CE0FB9" w:rsidP="003F1BEF">
            <w:pPr>
              <w:spacing w:after="0" w:line="240" w:lineRule="auto"/>
              <w:jc w:val="center"/>
              <w:rPr>
                <w:rFonts w:ascii="Arial" w:hAnsi="Arial" w:cs="Arial"/>
                <w:sz w:val="20"/>
                <w:szCs w:val="20"/>
              </w:rPr>
            </w:pPr>
            <w:r w:rsidRPr="003F1BEF">
              <w:rPr>
                <w:rFonts w:ascii="Arial" w:hAnsi="Arial" w:cs="Arial"/>
                <w:sz w:val="20"/>
                <w:szCs w:val="20"/>
              </w:rPr>
              <w:t>What is done when asked, but never done if not asked?</w:t>
            </w:r>
          </w:p>
        </w:tc>
        <w:tc>
          <w:tcPr>
            <w:tcW w:w="3081" w:type="dxa"/>
            <w:shd w:val="clear" w:color="auto" w:fill="auto"/>
          </w:tcPr>
          <w:p w:rsidR="00CE0FB9" w:rsidRPr="003F1BEF" w:rsidRDefault="00CE0FB9" w:rsidP="003F1BEF">
            <w:pPr>
              <w:spacing w:after="0" w:line="240" w:lineRule="auto"/>
              <w:jc w:val="center"/>
              <w:rPr>
                <w:rFonts w:ascii="Arial" w:hAnsi="Arial" w:cs="Arial"/>
                <w:b/>
                <w:sz w:val="24"/>
                <w:szCs w:val="24"/>
              </w:rPr>
            </w:pPr>
            <w:r w:rsidRPr="003F1BEF">
              <w:rPr>
                <w:rFonts w:ascii="Arial" w:hAnsi="Arial" w:cs="Arial"/>
                <w:b/>
                <w:sz w:val="24"/>
                <w:szCs w:val="24"/>
              </w:rPr>
              <w:t>DISLIKES</w:t>
            </w:r>
          </w:p>
          <w:p w:rsidR="00CE0FB9" w:rsidRPr="003F1BEF" w:rsidRDefault="00CE0FB9" w:rsidP="003F1BEF">
            <w:pPr>
              <w:spacing w:after="0" w:line="240" w:lineRule="auto"/>
              <w:jc w:val="center"/>
              <w:rPr>
                <w:rFonts w:ascii="Arial" w:hAnsi="Arial" w:cs="Arial"/>
                <w:sz w:val="20"/>
                <w:szCs w:val="20"/>
              </w:rPr>
            </w:pPr>
            <w:r w:rsidRPr="003F1BEF">
              <w:rPr>
                <w:rFonts w:ascii="Arial" w:hAnsi="Arial" w:cs="Arial"/>
                <w:sz w:val="20"/>
                <w:szCs w:val="20"/>
              </w:rPr>
              <w:t>What people, objects, or activities are resisted, avoided or rejected?</w:t>
            </w:r>
          </w:p>
        </w:tc>
      </w:tr>
      <w:tr w:rsidR="00F60822" w:rsidRPr="003F1BEF" w:rsidTr="003F1BEF">
        <w:tc>
          <w:tcPr>
            <w:tcW w:w="3080" w:type="dxa"/>
            <w:shd w:val="clear" w:color="auto" w:fill="auto"/>
          </w:tcPr>
          <w:p w:rsidR="00CE0FB9" w:rsidRPr="003F1BEF" w:rsidRDefault="00CE0FB9" w:rsidP="003F1BEF">
            <w:pPr>
              <w:spacing w:after="0" w:line="240" w:lineRule="auto"/>
              <w:rPr>
                <w:rFonts w:ascii="Arial" w:hAnsi="Arial" w:cs="Arial"/>
                <w:b/>
                <w:sz w:val="24"/>
                <w:szCs w:val="24"/>
                <w:u w:val="single"/>
              </w:rPr>
            </w:pPr>
            <w:r w:rsidRPr="003F1BEF">
              <w:rPr>
                <w:rFonts w:ascii="Arial" w:hAnsi="Arial" w:cs="Arial"/>
                <w:b/>
                <w:sz w:val="24"/>
                <w:szCs w:val="24"/>
                <w:u w:val="single"/>
              </w:rPr>
              <w:t>People</w:t>
            </w:r>
          </w:p>
          <w:p w:rsidR="00A76C81" w:rsidRPr="00AD7309" w:rsidRDefault="00A76C81" w:rsidP="00A76C81">
            <w:pPr>
              <w:rPr>
                <w:rFonts w:ascii="Arial" w:hAnsi="Arial" w:cs="Arial"/>
                <w:sz w:val="24"/>
                <w:szCs w:val="24"/>
              </w:rPr>
            </w:pPr>
            <w:r>
              <w:rPr>
                <w:rFonts w:cs="Arial"/>
                <w:sz w:val="24"/>
                <w:szCs w:val="24"/>
                <w:lang w:val="en-US"/>
              </w:rPr>
              <w:fldChar w:fldCharType="begin">
                <w:ffData>
                  <w:name w:val="Text1"/>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sz w:val="24"/>
                <w:szCs w:val="24"/>
                <w:lang w:val="en-US"/>
              </w:rPr>
              <w:t> </w:t>
            </w:r>
            <w:r>
              <w:rPr>
                <w:rFonts w:cs="Arial"/>
                <w:sz w:val="24"/>
                <w:szCs w:val="24"/>
                <w:lang w:val="en-US"/>
              </w:rPr>
              <w:t> </w:t>
            </w:r>
            <w:r>
              <w:rPr>
                <w:rFonts w:cs="Arial"/>
                <w:sz w:val="24"/>
                <w:szCs w:val="24"/>
                <w:lang w:val="en-US"/>
              </w:rPr>
              <w:t> </w:t>
            </w:r>
            <w:r>
              <w:rPr>
                <w:rFonts w:cs="Arial"/>
                <w:sz w:val="24"/>
                <w:szCs w:val="24"/>
                <w:lang w:val="en-US"/>
              </w:rPr>
              <w:t> </w:t>
            </w:r>
            <w:r>
              <w:rPr>
                <w:rFonts w:cs="Arial"/>
                <w:sz w:val="24"/>
                <w:szCs w:val="24"/>
                <w:lang w:val="en-US"/>
              </w:rPr>
              <w:t> </w:t>
            </w:r>
            <w:r>
              <w:rPr>
                <w:rFonts w:cs="Arial"/>
                <w:sz w:val="24"/>
                <w:szCs w:val="24"/>
                <w:lang w:val="en-US"/>
              </w:rPr>
              <w:fldChar w:fldCharType="end"/>
            </w: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3F1BEF" w:rsidRPr="003F1BEF" w:rsidRDefault="003F1BEF" w:rsidP="003F1BEF">
            <w:pPr>
              <w:spacing w:after="0" w:line="240" w:lineRule="auto"/>
              <w:rPr>
                <w:rFonts w:ascii="Arial" w:hAnsi="Arial" w:cs="Arial"/>
                <w:b/>
                <w:sz w:val="24"/>
                <w:szCs w:val="24"/>
                <w:u w:val="single"/>
              </w:rPr>
            </w:pPr>
          </w:p>
          <w:p w:rsidR="003F1BEF" w:rsidRPr="003F1BEF" w:rsidRDefault="003F1BEF"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tc>
        <w:tc>
          <w:tcPr>
            <w:tcW w:w="3081" w:type="dxa"/>
            <w:shd w:val="clear" w:color="auto" w:fill="auto"/>
          </w:tcPr>
          <w:p w:rsidR="00CE0FB9" w:rsidRPr="003F1BEF" w:rsidRDefault="003F1BEF" w:rsidP="003F1BEF">
            <w:pPr>
              <w:spacing w:after="0" w:line="240" w:lineRule="auto"/>
              <w:rPr>
                <w:rFonts w:ascii="Arial" w:hAnsi="Arial" w:cs="Arial"/>
                <w:b/>
                <w:sz w:val="24"/>
                <w:szCs w:val="24"/>
                <w:u w:val="single"/>
              </w:rPr>
            </w:pPr>
            <w:r w:rsidRPr="003F1BEF">
              <w:rPr>
                <w:rFonts w:ascii="Arial" w:hAnsi="Arial" w:cs="Arial"/>
                <w:b/>
                <w:sz w:val="24"/>
                <w:szCs w:val="24"/>
                <w:u w:val="single"/>
              </w:rPr>
              <w:t>People</w:t>
            </w:r>
          </w:p>
          <w:p w:rsidR="00A76C81" w:rsidRPr="00AD7309" w:rsidRDefault="00A76C81" w:rsidP="00A76C81">
            <w:pPr>
              <w:rPr>
                <w:rFonts w:ascii="Arial" w:hAnsi="Arial" w:cs="Arial"/>
                <w:sz w:val="24"/>
                <w:szCs w:val="24"/>
              </w:rPr>
            </w:pPr>
            <w:r>
              <w:rPr>
                <w:rFonts w:cs="Arial"/>
                <w:sz w:val="24"/>
                <w:szCs w:val="24"/>
                <w:lang w:val="en-US"/>
              </w:rPr>
              <w:fldChar w:fldCharType="begin">
                <w:ffData>
                  <w:name w:val="Text1"/>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cs="Arial"/>
                <w:sz w:val="24"/>
                <w:szCs w:val="24"/>
                <w:lang w:val="en-US"/>
              </w:rPr>
              <w:fldChar w:fldCharType="end"/>
            </w:r>
          </w:p>
          <w:p w:rsidR="003F1BEF" w:rsidRPr="003F1BEF" w:rsidRDefault="003F1BEF" w:rsidP="00A76C81">
            <w:pPr>
              <w:spacing w:after="0" w:line="240" w:lineRule="auto"/>
              <w:rPr>
                <w:rFonts w:ascii="Arial" w:hAnsi="Arial" w:cs="Arial"/>
                <w:b/>
                <w:sz w:val="24"/>
                <w:szCs w:val="24"/>
                <w:u w:val="single"/>
              </w:rPr>
            </w:pPr>
          </w:p>
        </w:tc>
        <w:tc>
          <w:tcPr>
            <w:tcW w:w="3081" w:type="dxa"/>
            <w:shd w:val="clear" w:color="auto" w:fill="auto"/>
          </w:tcPr>
          <w:p w:rsidR="00CE0FB9" w:rsidRPr="003F1BEF" w:rsidRDefault="00CE0FB9" w:rsidP="003F1BEF">
            <w:pPr>
              <w:spacing w:after="0" w:line="240" w:lineRule="auto"/>
              <w:rPr>
                <w:rFonts w:ascii="Arial" w:hAnsi="Arial" w:cs="Arial"/>
                <w:b/>
                <w:sz w:val="24"/>
                <w:szCs w:val="24"/>
                <w:u w:val="single"/>
              </w:rPr>
            </w:pPr>
            <w:r w:rsidRPr="003F1BEF">
              <w:rPr>
                <w:rFonts w:ascii="Arial" w:hAnsi="Arial" w:cs="Arial"/>
                <w:b/>
                <w:sz w:val="24"/>
                <w:szCs w:val="24"/>
                <w:u w:val="single"/>
              </w:rPr>
              <w:t>People</w:t>
            </w:r>
          </w:p>
          <w:p w:rsidR="00A76C81" w:rsidRPr="00AD7309" w:rsidRDefault="00A76C81" w:rsidP="00A76C81">
            <w:pPr>
              <w:rPr>
                <w:rFonts w:ascii="Arial" w:hAnsi="Arial" w:cs="Arial"/>
                <w:sz w:val="24"/>
                <w:szCs w:val="24"/>
              </w:rPr>
            </w:pPr>
            <w:r>
              <w:rPr>
                <w:rFonts w:cs="Arial"/>
                <w:sz w:val="24"/>
                <w:szCs w:val="24"/>
                <w:lang w:val="en-US"/>
              </w:rPr>
              <w:fldChar w:fldCharType="begin">
                <w:ffData>
                  <w:name w:val="Text1"/>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cs="Arial"/>
                <w:sz w:val="24"/>
                <w:szCs w:val="24"/>
                <w:lang w:val="en-US"/>
              </w:rPr>
              <w:fldChar w:fldCharType="end"/>
            </w:r>
          </w:p>
          <w:p w:rsidR="003F1BEF" w:rsidRPr="003F1BEF" w:rsidRDefault="003F1BEF" w:rsidP="00A76C81">
            <w:pPr>
              <w:spacing w:after="0" w:line="240" w:lineRule="auto"/>
              <w:rPr>
                <w:rFonts w:ascii="Arial" w:hAnsi="Arial" w:cs="Arial"/>
                <w:b/>
                <w:sz w:val="24"/>
                <w:szCs w:val="24"/>
                <w:u w:val="single"/>
              </w:rPr>
            </w:pPr>
          </w:p>
        </w:tc>
      </w:tr>
      <w:tr w:rsidR="00F60822" w:rsidRPr="003F1BEF" w:rsidTr="003F1BEF">
        <w:tc>
          <w:tcPr>
            <w:tcW w:w="3080" w:type="dxa"/>
            <w:shd w:val="clear" w:color="auto" w:fill="auto"/>
          </w:tcPr>
          <w:p w:rsidR="003F1BEF" w:rsidRPr="003F1BEF" w:rsidRDefault="00CE0FB9" w:rsidP="003F1BEF">
            <w:pPr>
              <w:spacing w:after="0" w:line="240" w:lineRule="auto"/>
              <w:rPr>
                <w:rFonts w:ascii="Arial" w:hAnsi="Arial" w:cs="Arial"/>
                <w:b/>
                <w:sz w:val="24"/>
                <w:szCs w:val="24"/>
                <w:u w:val="single"/>
              </w:rPr>
            </w:pPr>
            <w:r w:rsidRPr="003F1BEF">
              <w:rPr>
                <w:rFonts w:ascii="Arial" w:hAnsi="Arial" w:cs="Arial"/>
                <w:b/>
                <w:sz w:val="24"/>
                <w:szCs w:val="24"/>
                <w:u w:val="single"/>
              </w:rPr>
              <w:t>Activities</w:t>
            </w:r>
          </w:p>
          <w:p w:rsidR="00A76C81" w:rsidRPr="00AD7309" w:rsidRDefault="00A76C81" w:rsidP="00A76C81">
            <w:pPr>
              <w:rPr>
                <w:rFonts w:ascii="Arial" w:hAnsi="Arial" w:cs="Arial"/>
                <w:sz w:val="24"/>
                <w:szCs w:val="24"/>
              </w:rPr>
            </w:pPr>
            <w:r>
              <w:rPr>
                <w:rFonts w:cs="Arial"/>
                <w:sz w:val="24"/>
                <w:szCs w:val="24"/>
                <w:lang w:val="en-US"/>
              </w:rPr>
              <w:fldChar w:fldCharType="begin">
                <w:ffData>
                  <w:name w:val="Text1"/>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cs="Arial"/>
                <w:sz w:val="24"/>
                <w:szCs w:val="24"/>
                <w:lang w:val="en-US"/>
              </w:rPr>
              <w:fldChar w:fldCharType="end"/>
            </w: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tc>
        <w:tc>
          <w:tcPr>
            <w:tcW w:w="3081" w:type="dxa"/>
            <w:shd w:val="clear" w:color="auto" w:fill="auto"/>
          </w:tcPr>
          <w:p w:rsidR="00CE0FB9" w:rsidRPr="003F1BEF" w:rsidRDefault="00CE0FB9" w:rsidP="003F1BEF">
            <w:pPr>
              <w:spacing w:after="0" w:line="240" w:lineRule="auto"/>
              <w:rPr>
                <w:rFonts w:ascii="Arial" w:hAnsi="Arial" w:cs="Arial"/>
                <w:b/>
                <w:sz w:val="24"/>
                <w:szCs w:val="24"/>
                <w:u w:val="single"/>
              </w:rPr>
            </w:pPr>
            <w:r w:rsidRPr="003F1BEF">
              <w:rPr>
                <w:rFonts w:ascii="Arial" w:hAnsi="Arial" w:cs="Arial"/>
                <w:b/>
                <w:sz w:val="24"/>
                <w:szCs w:val="24"/>
                <w:u w:val="single"/>
              </w:rPr>
              <w:t>Activities</w:t>
            </w:r>
          </w:p>
          <w:p w:rsidR="00A76C81" w:rsidRPr="00AD7309" w:rsidRDefault="00A76C81" w:rsidP="00A76C81">
            <w:pPr>
              <w:rPr>
                <w:rFonts w:ascii="Arial" w:hAnsi="Arial" w:cs="Arial"/>
                <w:sz w:val="24"/>
                <w:szCs w:val="24"/>
              </w:rPr>
            </w:pPr>
            <w:r>
              <w:rPr>
                <w:rFonts w:cs="Arial"/>
                <w:sz w:val="24"/>
                <w:szCs w:val="24"/>
                <w:lang w:val="en-US"/>
              </w:rPr>
              <w:fldChar w:fldCharType="begin">
                <w:ffData>
                  <w:name w:val="Text1"/>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cs="Arial"/>
                <w:sz w:val="24"/>
                <w:szCs w:val="24"/>
                <w:lang w:val="en-US"/>
              </w:rPr>
              <w:fldChar w:fldCharType="end"/>
            </w:r>
          </w:p>
          <w:p w:rsidR="003F1BEF" w:rsidRPr="003F1BEF" w:rsidRDefault="003F1BEF" w:rsidP="003F1BEF">
            <w:pPr>
              <w:spacing w:after="0" w:line="240" w:lineRule="auto"/>
              <w:rPr>
                <w:rFonts w:ascii="Arial" w:hAnsi="Arial" w:cs="Arial"/>
                <w:b/>
                <w:sz w:val="24"/>
                <w:szCs w:val="24"/>
                <w:u w:val="single"/>
              </w:rPr>
            </w:pPr>
          </w:p>
        </w:tc>
        <w:tc>
          <w:tcPr>
            <w:tcW w:w="3081" w:type="dxa"/>
            <w:shd w:val="clear" w:color="auto" w:fill="auto"/>
          </w:tcPr>
          <w:p w:rsidR="003F1BEF" w:rsidRPr="00A76C81" w:rsidRDefault="00CE0FB9" w:rsidP="00A76C81">
            <w:pPr>
              <w:spacing w:after="0" w:line="240" w:lineRule="auto"/>
              <w:rPr>
                <w:rFonts w:ascii="Arial" w:hAnsi="Arial" w:cs="Arial"/>
                <w:b/>
                <w:sz w:val="24"/>
                <w:szCs w:val="24"/>
                <w:u w:val="single"/>
              </w:rPr>
            </w:pPr>
            <w:r w:rsidRPr="003F1BEF">
              <w:rPr>
                <w:rFonts w:ascii="Arial" w:hAnsi="Arial" w:cs="Arial"/>
                <w:b/>
                <w:sz w:val="24"/>
                <w:szCs w:val="24"/>
                <w:u w:val="single"/>
              </w:rPr>
              <w:t>Activities</w:t>
            </w:r>
          </w:p>
          <w:p w:rsidR="00A76C81" w:rsidRPr="00AD7309" w:rsidRDefault="00A76C81" w:rsidP="00A76C81">
            <w:pPr>
              <w:rPr>
                <w:rFonts w:ascii="Arial" w:hAnsi="Arial" w:cs="Arial"/>
                <w:sz w:val="24"/>
                <w:szCs w:val="24"/>
              </w:rPr>
            </w:pPr>
            <w:r>
              <w:rPr>
                <w:rFonts w:cs="Arial"/>
                <w:sz w:val="24"/>
                <w:szCs w:val="24"/>
                <w:lang w:val="en-US"/>
              </w:rPr>
              <w:fldChar w:fldCharType="begin">
                <w:ffData>
                  <w:name w:val="Text1"/>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cs="Arial"/>
                <w:sz w:val="24"/>
                <w:szCs w:val="24"/>
                <w:lang w:val="en-US"/>
              </w:rPr>
              <w:fldChar w:fldCharType="end"/>
            </w:r>
          </w:p>
          <w:p w:rsidR="00A76C81" w:rsidRPr="003F1BEF" w:rsidRDefault="00A76C81" w:rsidP="00A76C81">
            <w:pPr>
              <w:spacing w:after="0" w:line="240" w:lineRule="auto"/>
              <w:rPr>
                <w:rFonts w:ascii="Arial" w:hAnsi="Arial" w:cs="Arial"/>
                <w:b/>
                <w:sz w:val="24"/>
                <w:szCs w:val="24"/>
                <w:u w:val="single"/>
              </w:rPr>
            </w:pPr>
          </w:p>
        </w:tc>
      </w:tr>
      <w:tr w:rsidR="00F60822" w:rsidRPr="003F1BEF" w:rsidTr="003F1BEF">
        <w:tc>
          <w:tcPr>
            <w:tcW w:w="3080" w:type="dxa"/>
            <w:shd w:val="clear" w:color="auto" w:fill="auto"/>
          </w:tcPr>
          <w:p w:rsidR="00CE0FB9" w:rsidRPr="003F1BEF" w:rsidRDefault="00CE0FB9" w:rsidP="003F1BEF">
            <w:pPr>
              <w:spacing w:after="0" w:line="240" w:lineRule="auto"/>
              <w:rPr>
                <w:rFonts w:ascii="Arial" w:hAnsi="Arial" w:cs="Arial"/>
                <w:b/>
                <w:sz w:val="24"/>
                <w:szCs w:val="24"/>
                <w:u w:val="single"/>
              </w:rPr>
            </w:pPr>
            <w:r w:rsidRPr="003F1BEF">
              <w:rPr>
                <w:rFonts w:ascii="Arial" w:hAnsi="Arial" w:cs="Arial"/>
                <w:b/>
                <w:sz w:val="24"/>
                <w:szCs w:val="24"/>
                <w:u w:val="single"/>
              </w:rPr>
              <w:t>Sensory</w:t>
            </w:r>
          </w:p>
          <w:p w:rsidR="00A76C81" w:rsidRPr="00AD7309" w:rsidRDefault="00A76C81" w:rsidP="00A76C81">
            <w:pPr>
              <w:rPr>
                <w:rFonts w:ascii="Arial" w:hAnsi="Arial" w:cs="Arial"/>
                <w:sz w:val="24"/>
                <w:szCs w:val="24"/>
              </w:rPr>
            </w:pPr>
            <w:r>
              <w:rPr>
                <w:rFonts w:cs="Arial"/>
                <w:sz w:val="24"/>
                <w:szCs w:val="24"/>
                <w:lang w:val="en-US"/>
              </w:rPr>
              <w:fldChar w:fldCharType="begin">
                <w:ffData>
                  <w:name w:val="Text1"/>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cs="Arial"/>
                <w:sz w:val="24"/>
                <w:szCs w:val="24"/>
                <w:lang w:val="en-US"/>
              </w:rPr>
              <w:fldChar w:fldCharType="end"/>
            </w: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tc>
        <w:tc>
          <w:tcPr>
            <w:tcW w:w="3081" w:type="dxa"/>
            <w:shd w:val="clear" w:color="auto" w:fill="auto"/>
          </w:tcPr>
          <w:p w:rsidR="00CE0FB9" w:rsidRPr="003F1BEF" w:rsidRDefault="00CE0FB9" w:rsidP="003F1BEF">
            <w:pPr>
              <w:spacing w:after="0" w:line="240" w:lineRule="auto"/>
              <w:rPr>
                <w:rFonts w:ascii="Arial" w:hAnsi="Arial" w:cs="Arial"/>
                <w:b/>
                <w:sz w:val="24"/>
                <w:szCs w:val="24"/>
                <w:u w:val="single"/>
              </w:rPr>
            </w:pPr>
            <w:r w:rsidRPr="003F1BEF">
              <w:rPr>
                <w:rFonts w:ascii="Arial" w:hAnsi="Arial" w:cs="Arial"/>
                <w:b/>
                <w:sz w:val="24"/>
                <w:szCs w:val="24"/>
                <w:u w:val="single"/>
              </w:rPr>
              <w:t>Sensory</w:t>
            </w:r>
          </w:p>
          <w:p w:rsidR="00A76C81" w:rsidRPr="00AD7309" w:rsidRDefault="00A76C81" w:rsidP="00A76C81">
            <w:pPr>
              <w:rPr>
                <w:rFonts w:ascii="Arial" w:hAnsi="Arial" w:cs="Arial"/>
                <w:sz w:val="24"/>
                <w:szCs w:val="24"/>
              </w:rPr>
            </w:pPr>
            <w:r>
              <w:rPr>
                <w:rFonts w:cs="Arial"/>
                <w:sz w:val="24"/>
                <w:szCs w:val="24"/>
                <w:lang w:val="en-US"/>
              </w:rPr>
              <w:fldChar w:fldCharType="begin">
                <w:ffData>
                  <w:name w:val="Text1"/>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cs="Arial"/>
                <w:sz w:val="24"/>
                <w:szCs w:val="24"/>
                <w:lang w:val="en-US"/>
              </w:rPr>
              <w:fldChar w:fldCharType="end"/>
            </w:r>
          </w:p>
          <w:p w:rsidR="003F1BEF" w:rsidRPr="003F1BEF" w:rsidRDefault="003F1BEF" w:rsidP="003F1BEF">
            <w:pPr>
              <w:spacing w:after="0" w:line="240" w:lineRule="auto"/>
              <w:rPr>
                <w:rFonts w:ascii="Arial" w:hAnsi="Arial" w:cs="Arial"/>
                <w:b/>
                <w:sz w:val="24"/>
                <w:szCs w:val="24"/>
                <w:u w:val="single"/>
              </w:rPr>
            </w:pPr>
          </w:p>
        </w:tc>
        <w:tc>
          <w:tcPr>
            <w:tcW w:w="3081" w:type="dxa"/>
            <w:shd w:val="clear" w:color="auto" w:fill="auto"/>
          </w:tcPr>
          <w:p w:rsidR="00CE0FB9" w:rsidRPr="003F1BEF" w:rsidRDefault="00CE0FB9" w:rsidP="003F1BEF">
            <w:pPr>
              <w:spacing w:after="0" w:line="240" w:lineRule="auto"/>
              <w:rPr>
                <w:rFonts w:ascii="Arial" w:hAnsi="Arial" w:cs="Arial"/>
                <w:b/>
                <w:sz w:val="24"/>
                <w:szCs w:val="24"/>
                <w:u w:val="single"/>
              </w:rPr>
            </w:pPr>
            <w:r w:rsidRPr="003F1BEF">
              <w:rPr>
                <w:rFonts w:ascii="Arial" w:hAnsi="Arial" w:cs="Arial"/>
                <w:b/>
                <w:sz w:val="24"/>
                <w:szCs w:val="24"/>
                <w:u w:val="single"/>
              </w:rPr>
              <w:t>Sensory</w:t>
            </w:r>
          </w:p>
          <w:p w:rsidR="00A76C81" w:rsidRPr="00AD7309" w:rsidRDefault="00A76C81" w:rsidP="00A76C81">
            <w:pPr>
              <w:rPr>
                <w:rFonts w:ascii="Arial" w:hAnsi="Arial" w:cs="Arial"/>
                <w:sz w:val="24"/>
                <w:szCs w:val="24"/>
              </w:rPr>
            </w:pPr>
            <w:r>
              <w:rPr>
                <w:rFonts w:cs="Arial"/>
                <w:sz w:val="24"/>
                <w:szCs w:val="24"/>
                <w:lang w:val="en-US"/>
              </w:rPr>
              <w:fldChar w:fldCharType="begin">
                <w:ffData>
                  <w:name w:val="Text1"/>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cs="Arial"/>
                <w:sz w:val="24"/>
                <w:szCs w:val="24"/>
                <w:lang w:val="en-US"/>
              </w:rPr>
              <w:fldChar w:fldCharType="end"/>
            </w:r>
          </w:p>
          <w:p w:rsidR="003F1BEF" w:rsidRPr="003F1BEF" w:rsidRDefault="003F1BEF" w:rsidP="003F1BEF">
            <w:pPr>
              <w:spacing w:after="0" w:line="240" w:lineRule="auto"/>
              <w:rPr>
                <w:rFonts w:ascii="Arial" w:hAnsi="Arial" w:cs="Arial"/>
                <w:b/>
                <w:sz w:val="24"/>
                <w:szCs w:val="24"/>
                <w:u w:val="single"/>
              </w:rPr>
            </w:pPr>
          </w:p>
        </w:tc>
      </w:tr>
      <w:tr w:rsidR="00F60822" w:rsidRPr="003F1BEF" w:rsidTr="003F1BEF">
        <w:tc>
          <w:tcPr>
            <w:tcW w:w="3080" w:type="dxa"/>
            <w:shd w:val="clear" w:color="auto" w:fill="auto"/>
          </w:tcPr>
          <w:p w:rsidR="00CE0FB9" w:rsidRPr="003F1BEF" w:rsidRDefault="00CE0FB9" w:rsidP="003F1BEF">
            <w:pPr>
              <w:spacing w:after="0" w:line="240" w:lineRule="auto"/>
              <w:rPr>
                <w:rFonts w:ascii="Arial" w:hAnsi="Arial" w:cs="Arial"/>
                <w:b/>
                <w:sz w:val="24"/>
                <w:szCs w:val="24"/>
                <w:u w:val="single"/>
              </w:rPr>
            </w:pPr>
            <w:r w:rsidRPr="003F1BEF">
              <w:rPr>
                <w:rFonts w:ascii="Arial" w:hAnsi="Arial" w:cs="Arial"/>
                <w:b/>
                <w:sz w:val="24"/>
                <w:szCs w:val="24"/>
                <w:u w:val="single"/>
              </w:rPr>
              <w:t>Foods</w:t>
            </w:r>
          </w:p>
          <w:p w:rsidR="00A76C81" w:rsidRPr="00AD7309" w:rsidRDefault="00A76C81" w:rsidP="00A76C81">
            <w:pPr>
              <w:rPr>
                <w:rFonts w:ascii="Arial" w:hAnsi="Arial" w:cs="Arial"/>
                <w:sz w:val="24"/>
                <w:szCs w:val="24"/>
              </w:rPr>
            </w:pPr>
            <w:r>
              <w:rPr>
                <w:rFonts w:cs="Arial"/>
                <w:sz w:val="24"/>
                <w:szCs w:val="24"/>
                <w:lang w:val="en-US"/>
              </w:rPr>
              <w:fldChar w:fldCharType="begin">
                <w:ffData>
                  <w:name w:val="Text1"/>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cs="Arial"/>
                <w:sz w:val="24"/>
                <w:szCs w:val="24"/>
                <w:lang w:val="en-US"/>
              </w:rPr>
              <w:fldChar w:fldCharType="end"/>
            </w: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p w:rsidR="00CE0FB9" w:rsidRPr="003F1BEF" w:rsidRDefault="00CE0FB9" w:rsidP="003F1BEF">
            <w:pPr>
              <w:spacing w:after="0" w:line="240" w:lineRule="auto"/>
              <w:rPr>
                <w:rFonts w:ascii="Arial" w:hAnsi="Arial" w:cs="Arial"/>
                <w:b/>
                <w:sz w:val="24"/>
                <w:szCs w:val="24"/>
                <w:u w:val="single"/>
              </w:rPr>
            </w:pPr>
          </w:p>
        </w:tc>
        <w:tc>
          <w:tcPr>
            <w:tcW w:w="3081" w:type="dxa"/>
            <w:shd w:val="clear" w:color="auto" w:fill="auto"/>
          </w:tcPr>
          <w:p w:rsidR="00CE0FB9" w:rsidRPr="003F1BEF" w:rsidRDefault="00CE0FB9" w:rsidP="003F1BEF">
            <w:pPr>
              <w:spacing w:after="0" w:line="240" w:lineRule="auto"/>
              <w:rPr>
                <w:rFonts w:ascii="Arial" w:hAnsi="Arial" w:cs="Arial"/>
                <w:b/>
                <w:sz w:val="24"/>
                <w:szCs w:val="24"/>
                <w:u w:val="single"/>
              </w:rPr>
            </w:pPr>
            <w:r w:rsidRPr="003F1BEF">
              <w:rPr>
                <w:rFonts w:ascii="Arial" w:hAnsi="Arial" w:cs="Arial"/>
                <w:b/>
                <w:sz w:val="24"/>
                <w:szCs w:val="24"/>
                <w:u w:val="single"/>
              </w:rPr>
              <w:t xml:space="preserve">Foods </w:t>
            </w:r>
          </w:p>
          <w:p w:rsidR="00A76C81" w:rsidRPr="00AD7309" w:rsidRDefault="00A76C81" w:rsidP="00A76C81">
            <w:pPr>
              <w:rPr>
                <w:rFonts w:ascii="Arial" w:hAnsi="Arial" w:cs="Arial"/>
                <w:sz w:val="24"/>
                <w:szCs w:val="24"/>
              </w:rPr>
            </w:pPr>
            <w:r>
              <w:rPr>
                <w:rFonts w:cs="Arial"/>
                <w:sz w:val="24"/>
                <w:szCs w:val="24"/>
                <w:lang w:val="en-US"/>
              </w:rPr>
              <w:fldChar w:fldCharType="begin">
                <w:ffData>
                  <w:name w:val="Text1"/>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cs="Arial"/>
                <w:sz w:val="24"/>
                <w:szCs w:val="24"/>
                <w:lang w:val="en-US"/>
              </w:rPr>
              <w:fldChar w:fldCharType="end"/>
            </w:r>
          </w:p>
          <w:p w:rsidR="003F1BEF" w:rsidRPr="003F1BEF" w:rsidRDefault="003F1BEF" w:rsidP="003F1BEF">
            <w:pPr>
              <w:spacing w:after="0" w:line="240" w:lineRule="auto"/>
              <w:rPr>
                <w:rFonts w:ascii="Arial" w:hAnsi="Arial" w:cs="Arial"/>
                <w:b/>
                <w:sz w:val="24"/>
                <w:szCs w:val="24"/>
                <w:u w:val="single"/>
              </w:rPr>
            </w:pPr>
          </w:p>
        </w:tc>
        <w:tc>
          <w:tcPr>
            <w:tcW w:w="3081" w:type="dxa"/>
            <w:shd w:val="clear" w:color="auto" w:fill="auto"/>
          </w:tcPr>
          <w:p w:rsidR="00CE0FB9" w:rsidRPr="003F1BEF" w:rsidRDefault="00CE0FB9" w:rsidP="003F1BEF">
            <w:pPr>
              <w:spacing w:after="0" w:line="240" w:lineRule="auto"/>
              <w:rPr>
                <w:rFonts w:ascii="Arial" w:hAnsi="Arial" w:cs="Arial"/>
                <w:b/>
                <w:sz w:val="24"/>
                <w:szCs w:val="24"/>
                <w:u w:val="single"/>
              </w:rPr>
            </w:pPr>
            <w:r w:rsidRPr="003F1BEF">
              <w:rPr>
                <w:rFonts w:ascii="Arial" w:hAnsi="Arial" w:cs="Arial"/>
                <w:b/>
                <w:sz w:val="24"/>
                <w:szCs w:val="24"/>
                <w:u w:val="single"/>
              </w:rPr>
              <w:t>Foods</w:t>
            </w:r>
          </w:p>
          <w:p w:rsidR="00A76C81" w:rsidRPr="00AD7309" w:rsidRDefault="00A76C81" w:rsidP="00A76C81">
            <w:pPr>
              <w:rPr>
                <w:rFonts w:ascii="Arial" w:hAnsi="Arial" w:cs="Arial"/>
                <w:sz w:val="24"/>
                <w:szCs w:val="24"/>
              </w:rPr>
            </w:pPr>
            <w:r>
              <w:rPr>
                <w:rFonts w:cs="Arial"/>
                <w:sz w:val="24"/>
                <w:szCs w:val="24"/>
                <w:lang w:val="en-US"/>
              </w:rPr>
              <w:fldChar w:fldCharType="begin">
                <w:ffData>
                  <w:name w:val="Text1"/>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eastAsia="Arial Unicode MS" w:cs="Arial"/>
                <w:sz w:val="24"/>
                <w:szCs w:val="24"/>
                <w:lang w:val="en-US"/>
              </w:rPr>
              <w:t> </w:t>
            </w:r>
            <w:r>
              <w:rPr>
                <w:rFonts w:cs="Arial"/>
                <w:sz w:val="24"/>
                <w:szCs w:val="24"/>
                <w:lang w:val="en-US"/>
              </w:rPr>
              <w:fldChar w:fldCharType="end"/>
            </w:r>
          </w:p>
          <w:p w:rsidR="003F1BEF" w:rsidRPr="003F1BEF" w:rsidRDefault="003F1BEF" w:rsidP="003F1BEF">
            <w:pPr>
              <w:spacing w:after="0" w:line="240" w:lineRule="auto"/>
              <w:rPr>
                <w:rFonts w:ascii="Arial" w:hAnsi="Arial" w:cs="Arial"/>
                <w:b/>
                <w:sz w:val="24"/>
                <w:szCs w:val="24"/>
                <w:u w:val="single"/>
              </w:rPr>
            </w:pPr>
          </w:p>
        </w:tc>
      </w:tr>
    </w:tbl>
    <w:p w:rsidR="00CE0FB9" w:rsidRPr="00CE0FB9" w:rsidRDefault="00CE0FB9" w:rsidP="00CE0FB9">
      <w:pPr>
        <w:spacing w:after="60"/>
        <w:jc w:val="center"/>
        <w:rPr>
          <w:rFonts w:ascii="Arial" w:hAnsi="Arial" w:cs="Arial"/>
          <w:sz w:val="16"/>
          <w:szCs w:val="16"/>
        </w:rPr>
      </w:pPr>
    </w:p>
    <w:p w:rsidR="00CE0FB9" w:rsidRPr="00CE0FB9" w:rsidRDefault="00CE0FB9" w:rsidP="00CE0FB9">
      <w:pPr>
        <w:jc w:val="center"/>
        <w:rPr>
          <w:rFonts w:ascii="Arial" w:hAnsi="Arial" w:cs="Arial"/>
          <w:sz w:val="16"/>
          <w:szCs w:val="16"/>
        </w:rPr>
      </w:pPr>
      <w:r w:rsidRPr="00CE0FB9">
        <w:rPr>
          <w:rFonts w:ascii="Arial" w:hAnsi="Arial" w:cs="Arial"/>
          <w:sz w:val="16"/>
          <w:szCs w:val="16"/>
        </w:rPr>
        <w:t>Understanding the Nature of Autism: A Practical Guide, Janice E. Janzen, Therapy Skill Builders, 1996</w:t>
      </w:r>
    </w:p>
    <w:sectPr w:rsidR="00CE0FB9" w:rsidRPr="00CE0FB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F2" w:rsidRDefault="00E16CF2" w:rsidP="00CE0FB9">
      <w:pPr>
        <w:spacing w:after="0" w:line="240" w:lineRule="auto"/>
      </w:pPr>
      <w:r>
        <w:separator/>
      </w:r>
    </w:p>
  </w:endnote>
  <w:endnote w:type="continuationSeparator" w:id="0">
    <w:p w:rsidR="00E16CF2" w:rsidRDefault="00E16CF2" w:rsidP="00CE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75" w:rsidRDefault="008400CB">
    <w:pPr>
      <w:pStyle w:val="Footer"/>
      <w:rPr>
        <w:noProof/>
        <w:lang w:eastAsia="en-AU"/>
      </w:rPr>
    </w:pPr>
    <w:r>
      <w:rPr>
        <w:noProof/>
        <w:lang w:eastAsia="en-AU"/>
      </w:rPr>
      <mc:AlternateContent>
        <mc:Choice Requires="wps">
          <w:drawing>
            <wp:anchor distT="0" distB="0" distL="114300" distR="114300" simplePos="0" relativeHeight="251662848" behindDoc="0" locked="0" layoutInCell="1" allowOverlap="1" wp14:anchorId="09FB70F4" wp14:editId="0E28FE16">
              <wp:simplePos x="0" y="0"/>
              <wp:positionH relativeFrom="column">
                <wp:posOffset>-571500</wp:posOffset>
              </wp:positionH>
              <wp:positionV relativeFrom="paragraph">
                <wp:posOffset>150495</wp:posOffset>
              </wp:positionV>
              <wp:extent cx="3731260" cy="819150"/>
              <wp:effectExtent l="0" t="0" r="254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C75" w:rsidRPr="006E2C75" w:rsidRDefault="006E2C75" w:rsidP="006E2C75">
                          <w:pPr>
                            <w:rPr>
                              <w:rFonts w:ascii="Arial" w:hAnsi="Arial" w:cs="Arial"/>
                            </w:rPr>
                          </w:pPr>
                          <w:r w:rsidRPr="006E2C75">
                            <w:rPr>
                              <w:rFonts w:ascii="Arial" w:hAnsi="Arial" w:cs="Arial"/>
                              <w:iCs/>
                              <w:sz w:val="16"/>
                            </w:rPr>
                            <w:t>The Positive Partnerships initiative is funded by the Australian Government Department of Education through the Helping Children with Autism Package. The views expressed in this publication do not necessarily represent the views of the Australian Government or the Australian Government Department of Education and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11.85pt;width:293.8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vFgg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" stroked="f">
              <v:textbox>
                <w:txbxContent>
                  <w:p w:rsidR="006E2C75" w:rsidRPr="006E2C75" w:rsidRDefault="006E2C75" w:rsidP="006E2C75">
                    <w:pPr>
                      <w:rPr>
                        <w:rFonts w:ascii="Arial" w:hAnsi="Arial" w:cs="Arial"/>
                      </w:rPr>
                    </w:pPr>
                    <w:r w:rsidRPr="006E2C75">
                      <w:rPr>
                        <w:rFonts w:ascii="Arial" w:hAnsi="Arial" w:cs="Arial"/>
                        <w:iCs/>
                        <w:sz w:val="16"/>
                      </w:rPr>
                      <w:t>The Positive Partnerships initiative is funded by the Australian Government Department of Education through the Helping Children with Autism Package. The views expressed in this publication do not necessarily represent the views of the Australian Government or the Australian Government Department of Education and Training.</w:t>
                    </w:r>
                  </w:p>
                </w:txbxContent>
              </v:textbox>
            </v:shape>
          </w:pict>
        </mc:Fallback>
      </mc:AlternateContent>
    </w:r>
    <w:r>
      <w:rPr>
        <w:noProof/>
        <w:lang w:eastAsia="en-AU"/>
      </w:rPr>
      <mc:AlternateContent>
        <mc:Choice Requires="wps">
          <w:drawing>
            <wp:anchor distT="0" distB="0" distL="114300" distR="114300" simplePos="0" relativeHeight="251656704" behindDoc="0" locked="0" layoutInCell="1" allowOverlap="1" wp14:anchorId="55A8435E" wp14:editId="332D61E3">
              <wp:simplePos x="0" y="0"/>
              <wp:positionH relativeFrom="column">
                <wp:posOffset>1913890</wp:posOffset>
              </wp:positionH>
              <wp:positionV relativeFrom="paragraph">
                <wp:posOffset>4991100</wp:posOffset>
              </wp:positionV>
              <wp:extent cx="3731260" cy="704850"/>
              <wp:effectExtent l="0" t="0"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C75" w:rsidRPr="003356CB" w:rsidRDefault="006E2C75" w:rsidP="00BA3319">
                          <w:r w:rsidRPr="003356CB">
                            <w:rPr>
                              <w:rFonts w:cs="Arial"/>
                              <w:iCs/>
                              <w:sz w:val="16"/>
                            </w:rPr>
                            <w:t>The Positive Partnerships initiative is funded by the Australian Government Department of Education through the Helping Children with Autism Package. The views expressed in this publication do not necessarily represent the views of the Australian Government or the Australian Government Department of Education and Training</w:t>
                          </w:r>
                          <w:r>
                            <w:rPr>
                              <w:rFonts w:cs="Arial"/>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0.7pt;margin-top:393pt;width:293.8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3ihQIAABc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" stroked="f">
              <v:textbox>
                <w:txbxContent>
                  <w:p w:rsidR="006E2C75" w:rsidRPr="003356CB" w:rsidRDefault="006E2C75" w:rsidP="00BA3319">
                    <w:r w:rsidRPr="003356CB">
                      <w:rPr>
                        <w:rFonts w:cs="Arial"/>
                        <w:iCs/>
                        <w:sz w:val="16"/>
                      </w:rPr>
                      <w:t>The Positive Partnerships initiative is funded by the Australian Government Department of Education through the Helping Children with Autism Package. The views expressed in this publication do not necessarily represent the views of the Australian Government or the Australian Government Department of Education and Training</w:t>
                    </w:r>
                    <w:r>
                      <w:rPr>
                        <w:rFonts w:cs="Arial"/>
                        <w:iCs/>
                        <w:sz w:val="16"/>
                      </w:rPr>
                      <w:t>.</w:t>
                    </w:r>
                  </w:p>
                </w:txbxContent>
              </v:textbox>
            </v:shape>
          </w:pict>
        </mc:Fallback>
      </mc:AlternateContent>
    </w:r>
    <w:r>
      <w:rPr>
        <w:noProof/>
        <w:lang w:eastAsia="en-AU"/>
      </w:rPr>
      <mc:AlternateContent>
        <mc:Choice Requires="wps">
          <w:drawing>
            <wp:anchor distT="0" distB="0" distL="114300" distR="114300" simplePos="0" relativeHeight="251654656" behindDoc="0" locked="0" layoutInCell="1" allowOverlap="1" wp14:anchorId="6F111B27" wp14:editId="7E4B9143">
              <wp:simplePos x="0" y="0"/>
              <wp:positionH relativeFrom="column">
                <wp:posOffset>190500</wp:posOffset>
              </wp:positionH>
              <wp:positionV relativeFrom="paragraph">
                <wp:posOffset>9638665</wp:posOffset>
              </wp:positionV>
              <wp:extent cx="3731260" cy="704850"/>
              <wp:effectExtent l="0" t="0" r="254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C75" w:rsidRPr="003356CB" w:rsidRDefault="006E2C75" w:rsidP="00BA3319">
                          <w:r w:rsidRPr="003356CB">
                            <w:rPr>
                              <w:rFonts w:cs="Arial"/>
                              <w:iCs/>
                              <w:sz w:val="16"/>
                            </w:rPr>
                            <w:t>The Positive Partnerships initiative is funded by the Australian Government Department of Education through the Helping Children with Autism Package. The views expressed in this publication do not necessarily represent the views of the Australian Government or the Australian Government Department of Education and Training</w:t>
                          </w:r>
                          <w:r>
                            <w:rPr>
                              <w:rFonts w:cs="Arial"/>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pt;margin-top:758.95pt;width:293.8pt;height: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aW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" stroked="f">
              <v:textbox>
                <w:txbxContent>
                  <w:p w:rsidR="006E2C75" w:rsidRPr="003356CB" w:rsidRDefault="006E2C75" w:rsidP="00BA3319">
                    <w:r w:rsidRPr="003356CB">
                      <w:rPr>
                        <w:rFonts w:cs="Arial"/>
                        <w:iCs/>
                        <w:sz w:val="16"/>
                      </w:rPr>
                      <w:t>The Positive Partnerships initiative is funded by the Australian Government Department of Education through the Helping Children with Autism Package. The views expressed in this publication do not necessarily represent the views of the Australian Government or the Australian Government Department of Education and Training</w:t>
                    </w:r>
                    <w:r>
                      <w:rPr>
                        <w:rFonts w:cs="Arial"/>
                        <w:iCs/>
                        <w:sz w:val="16"/>
                      </w:rPr>
                      <w:t>.</w:t>
                    </w:r>
                  </w:p>
                </w:txbxContent>
              </v:textbox>
            </v:shape>
          </w:pict>
        </mc:Fallback>
      </mc:AlternateContent>
    </w:r>
    <w:r>
      <w:rPr>
        <w:noProof/>
        <w:lang w:eastAsia="en-AU"/>
      </w:rPr>
      <mc:AlternateContent>
        <mc:Choice Requires="wps">
          <w:drawing>
            <wp:anchor distT="0" distB="0" distL="114300" distR="114300" simplePos="0" relativeHeight="251652608" behindDoc="0" locked="0" layoutInCell="1" allowOverlap="1" wp14:anchorId="3410BF56" wp14:editId="018913CC">
              <wp:simplePos x="0" y="0"/>
              <wp:positionH relativeFrom="column">
                <wp:posOffset>190500</wp:posOffset>
              </wp:positionH>
              <wp:positionV relativeFrom="paragraph">
                <wp:posOffset>9638665</wp:posOffset>
              </wp:positionV>
              <wp:extent cx="3731260" cy="704850"/>
              <wp:effectExtent l="0" t="0" r="254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C75" w:rsidRPr="003356CB" w:rsidRDefault="006E2C75" w:rsidP="00BA3319">
                          <w:r w:rsidRPr="003356CB">
                            <w:rPr>
                              <w:rFonts w:cs="Arial"/>
                              <w:iCs/>
                              <w:sz w:val="16"/>
                            </w:rPr>
                            <w:t>The Positive Partnerships initiative is funded by the Australian Government Department of Education through the Helping Children with Autism Package. The views expressed in this publication do not necessarily represent the views of the Australian Government or the Australian Government Department of Education and Training</w:t>
                          </w:r>
                          <w:r>
                            <w:rPr>
                              <w:rFonts w:cs="Arial"/>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5pt;margin-top:758.95pt;width:293.8pt;height: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cc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" stroked="f">
              <v:textbox>
                <w:txbxContent>
                  <w:p w:rsidR="006E2C75" w:rsidRPr="003356CB" w:rsidRDefault="006E2C75" w:rsidP="00BA3319">
                    <w:r w:rsidRPr="003356CB">
                      <w:rPr>
                        <w:rFonts w:cs="Arial"/>
                        <w:iCs/>
                        <w:sz w:val="16"/>
                      </w:rPr>
                      <w:t>The Positive Partnerships initiative is funded by the Australian Government Department of Education through the Helping Children with Autism Package. The views expressed in this publication do not necessarily represent the views of the Australian Government or the Australian Government Department of Education and Training</w:t>
                    </w:r>
                    <w:r>
                      <w:rPr>
                        <w:rFonts w:cs="Arial"/>
                        <w:iCs/>
                        <w:sz w:val="16"/>
                      </w:rPr>
                      <w:t>.</w:t>
                    </w:r>
                  </w:p>
                </w:txbxContent>
              </v:textbox>
            </v:shape>
          </w:pict>
        </mc:Fallback>
      </mc:AlternateContent>
    </w:r>
    <w:r>
      <w:rPr>
        <w:noProof/>
        <w:lang w:eastAsia="en-AU"/>
      </w:rPr>
      <mc:AlternateContent>
        <mc:Choice Requires="wps">
          <w:drawing>
            <wp:anchor distT="0" distB="0" distL="114300" distR="114300" simplePos="0" relativeHeight="251649536" behindDoc="0" locked="0" layoutInCell="1" allowOverlap="1" wp14:anchorId="02C92C84" wp14:editId="7ABD684B">
              <wp:simplePos x="0" y="0"/>
              <wp:positionH relativeFrom="column">
                <wp:posOffset>190500</wp:posOffset>
              </wp:positionH>
              <wp:positionV relativeFrom="paragraph">
                <wp:posOffset>9638665</wp:posOffset>
              </wp:positionV>
              <wp:extent cx="3731260" cy="704850"/>
              <wp:effectExtent l="0" t="0" r="254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C75" w:rsidRPr="003356CB" w:rsidRDefault="006E2C75" w:rsidP="00BA3319">
                          <w:r w:rsidRPr="003356CB">
                            <w:rPr>
                              <w:rFonts w:cs="Arial"/>
                              <w:iCs/>
                              <w:sz w:val="16"/>
                            </w:rPr>
                            <w:t>The Positive Partnerships initiative is funded by the Australian Government Department of Education through the Helping Children with Autism Package. The views expressed in this publication do not necessarily represent the views of the Australian Government or the Australian Government Department of Education and Training</w:t>
                          </w:r>
                          <w:r>
                            <w:rPr>
                              <w:rFonts w:cs="Arial"/>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15pt;margin-top:758.95pt;width:293.8pt;height: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DhwIAABc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" stroked="f">
              <v:textbox>
                <w:txbxContent>
                  <w:p w:rsidR="006E2C75" w:rsidRPr="003356CB" w:rsidRDefault="006E2C75" w:rsidP="00BA3319">
                    <w:r w:rsidRPr="003356CB">
                      <w:rPr>
                        <w:rFonts w:cs="Arial"/>
                        <w:iCs/>
                        <w:sz w:val="16"/>
                      </w:rPr>
                      <w:t>The Positive Partnerships initiative is funded by the Australian Government Department of Education through the Helping Children with Autism Package. The views expressed in this publication do not necessarily represent the views of the Australian Government or the Australian Government Department of Education and Training</w:t>
                    </w:r>
                    <w:r>
                      <w:rPr>
                        <w:rFonts w:cs="Arial"/>
                        <w:iCs/>
                        <w:sz w:val="16"/>
                      </w:rPr>
                      <w:t>.</w:t>
                    </w:r>
                  </w:p>
                </w:txbxContent>
              </v:textbox>
            </v:shape>
          </w:pict>
        </mc:Fallback>
      </mc:AlternateContent>
    </w:r>
    <w:r w:rsidR="006E2C75">
      <w:rPr>
        <w:noProof/>
        <w:lang w:eastAsia="en-AU"/>
      </w:rPr>
      <w:tab/>
      <w:t xml:space="preserve"> </w:t>
    </w:r>
  </w:p>
  <w:p w:rsidR="006E2C75" w:rsidRPr="006E2C75" w:rsidRDefault="00C76AA3" w:rsidP="006E2C75">
    <w:pPr>
      <w:pStyle w:val="Footer"/>
      <w:rPr>
        <w:rFonts w:ascii="Arial" w:eastAsia="Times New Roman" w:hAnsi="Arial"/>
        <w:sz w:val="20"/>
        <w:szCs w:val="20"/>
        <w:lang w:eastAsia="en-AU"/>
      </w:rPr>
    </w:pPr>
    <w:r>
      <w:rPr>
        <w:noProof/>
        <w:lang w:eastAsia="en-AU"/>
      </w:rPr>
      <w:drawing>
        <wp:anchor distT="0" distB="0" distL="114300" distR="114300" simplePos="0" relativeHeight="251664384" behindDoc="1" locked="0" layoutInCell="1" allowOverlap="1" wp14:anchorId="4F56EE41" wp14:editId="54FF1F96">
          <wp:simplePos x="0" y="0"/>
          <wp:positionH relativeFrom="column">
            <wp:posOffset>3376930</wp:posOffset>
          </wp:positionH>
          <wp:positionV relativeFrom="paragraph">
            <wp:posOffset>50800</wp:posOffset>
          </wp:positionV>
          <wp:extent cx="2676525" cy="542925"/>
          <wp:effectExtent l="0" t="0" r="9525" b="9525"/>
          <wp:wrapThrough wrapText="bothSides">
            <wp:wrapPolygon edited="0">
              <wp:start x="0" y="0"/>
              <wp:lineTo x="0" y="21221"/>
              <wp:lineTo x="21523" y="21221"/>
              <wp:lineTo x="21523" y="0"/>
              <wp:lineTo x="0" y="0"/>
            </wp:wrapPolygon>
          </wp:wrapThrough>
          <wp:docPr id="15" name="Picture 8" descr="peac horizontal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ac horizontal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C75">
      <w:rPr>
        <w:noProof/>
        <w:lang w:eastAsia="en-AU"/>
      </w:rPr>
      <w:t xml:space="preserve">        </w:t>
    </w:r>
  </w:p>
  <w:p w:rsidR="006E2C75" w:rsidRPr="006E2C75" w:rsidRDefault="006E2C75" w:rsidP="006E2C75">
    <w:pPr>
      <w:tabs>
        <w:tab w:val="right" w:pos="10206"/>
        <w:tab w:val="right" w:pos="14034"/>
      </w:tabs>
      <w:spacing w:after="0" w:line="240" w:lineRule="auto"/>
      <w:rPr>
        <w:rFonts w:ascii="Arial" w:eastAsia="Times New Roman" w:hAnsi="Arial"/>
        <w:sz w:val="16"/>
        <w:szCs w:val="20"/>
        <w:lang w:eastAsia="en-AU"/>
      </w:rPr>
    </w:pPr>
    <w:r w:rsidRPr="006E2C75">
      <w:rPr>
        <w:rFonts w:ascii="Arial" w:eastAsia="Times New Roman" w:hAnsi="Arial"/>
        <w:sz w:val="16"/>
        <w:szCs w:val="20"/>
        <w:lang w:eastAsia="en-AU"/>
      </w:rPr>
      <w:tab/>
    </w:r>
    <w:r>
      <w:rPr>
        <w:rFonts w:ascii="Arial" w:eastAsia="Times New Roman" w:hAnsi="Arial"/>
        <w:sz w:val="16"/>
        <w:szCs w:val="20"/>
        <w:lang w:eastAsia="en-AU"/>
      </w:rPr>
      <w:t xml:space="preserve">  </w:t>
    </w:r>
  </w:p>
  <w:p w:rsidR="00CE0FB9" w:rsidRDefault="006E2C75">
    <w:pPr>
      <w:pStyle w:val="Footer"/>
    </w:pPr>
    <w:r>
      <w:rPr>
        <w:noProof/>
        <w:lang w:eastAsia="en-AU"/>
      </w:rPr>
      <w:t xml:space="preserve">                                                                             </w:t>
    </w:r>
    <w:r>
      <w:rPr>
        <w:noProof/>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F2" w:rsidRDefault="00E16CF2" w:rsidP="00CE0FB9">
      <w:pPr>
        <w:spacing w:after="0" w:line="240" w:lineRule="auto"/>
      </w:pPr>
      <w:r>
        <w:separator/>
      </w:r>
    </w:p>
  </w:footnote>
  <w:footnote w:type="continuationSeparator" w:id="0">
    <w:p w:rsidR="00E16CF2" w:rsidRDefault="00E16CF2" w:rsidP="00CE0F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38"/>
    <w:rsid w:val="0006525F"/>
    <w:rsid w:val="003F1BEF"/>
    <w:rsid w:val="006E2C75"/>
    <w:rsid w:val="008400CB"/>
    <w:rsid w:val="00860CC3"/>
    <w:rsid w:val="00A76C81"/>
    <w:rsid w:val="00B002E4"/>
    <w:rsid w:val="00C27BF2"/>
    <w:rsid w:val="00C76AA3"/>
    <w:rsid w:val="00CA6D38"/>
    <w:rsid w:val="00CC6569"/>
    <w:rsid w:val="00CE0FB9"/>
    <w:rsid w:val="00D64AD8"/>
    <w:rsid w:val="00D81CF7"/>
    <w:rsid w:val="00E16CF2"/>
    <w:rsid w:val="00F60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0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FB9"/>
  </w:style>
  <w:style w:type="paragraph" w:styleId="Footer">
    <w:name w:val="footer"/>
    <w:basedOn w:val="Normal"/>
    <w:link w:val="FooterChar"/>
    <w:uiPriority w:val="99"/>
    <w:unhideWhenUsed/>
    <w:rsid w:val="00CE0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FB9"/>
  </w:style>
  <w:style w:type="paragraph" w:styleId="BalloonText">
    <w:name w:val="Balloon Text"/>
    <w:basedOn w:val="Normal"/>
    <w:link w:val="BalloonTextChar"/>
    <w:uiPriority w:val="99"/>
    <w:semiHidden/>
    <w:unhideWhenUsed/>
    <w:rsid w:val="00CE0F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0FB9"/>
    <w:rPr>
      <w:rFonts w:ascii="Tahoma" w:hAnsi="Tahoma" w:cs="Tahoma"/>
      <w:sz w:val="16"/>
      <w:szCs w:val="16"/>
    </w:rPr>
  </w:style>
  <w:style w:type="character" w:styleId="PlaceholderText">
    <w:name w:val="Placeholder Text"/>
    <w:basedOn w:val="DefaultParagraphFont"/>
    <w:uiPriority w:val="99"/>
    <w:semiHidden/>
    <w:rsid w:val="000652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0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FB9"/>
  </w:style>
  <w:style w:type="paragraph" w:styleId="Footer">
    <w:name w:val="footer"/>
    <w:basedOn w:val="Normal"/>
    <w:link w:val="FooterChar"/>
    <w:uiPriority w:val="99"/>
    <w:unhideWhenUsed/>
    <w:rsid w:val="00CE0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FB9"/>
  </w:style>
  <w:style w:type="paragraph" w:styleId="BalloonText">
    <w:name w:val="Balloon Text"/>
    <w:basedOn w:val="Normal"/>
    <w:link w:val="BalloonTextChar"/>
    <w:uiPriority w:val="99"/>
    <w:semiHidden/>
    <w:unhideWhenUsed/>
    <w:rsid w:val="00CE0F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0FB9"/>
    <w:rPr>
      <w:rFonts w:ascii="Tahoma" w:hAnsi="Tahoma" w:cs="Tahoma"/>
      <w:sz w:val="16"/>
      <w:szCs w:val="16"/>
    </w:rPr>
  </w:style>
  <w:style w:type="character" w:styleId="PlaceholderText">
    <w:name w:val="Placeholder Text"/>
    <w:basedOn w:val="DefaultParagraphFont"/>
    <w:uiPriority w:val="99"/>
    <w:semiHidden/>
    <w:rsid w:val="000652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French</dc:creator>
  <cp:lastModifiedBy>LILBURNE Brooke</cp:lastModifiedBy>
  <cp:revision>2</cp:revision>
  <dcterms:created xsi:type="dcterms:W3CDTF">2017-10-23T10:50:00Z</dcterms:created>
  <dcterms:modified xsi:type="dcterms:W3CDTF">2017-10-23T10:50:00Z</dcterms:modified>
</cp:coreProperties>
</file>